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216AC5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October</w:t>
      </w:r>
      <w:r w:rsidR="00E75CC0">
        <w:rPr>
          <w:color w:val="C00000"/>
          <w:sz w:val="32"/>
          <w:szCs w:val="32"/>
        </w:rPr>
        <w:t xml:space="preserve"> 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E65D96" w:rsidRDefault="00367A5C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>October 1</w:t>
      </w:r>
      <w:r w:rsidR="001A1DB5" w:rsidRPr="00E65D96">
        <w:rPr>
          <w:color w:val="632423" w:themeColor="accent2" w:themeShade="80"/>
          <w:sz w:val="28"/>
          <w:szCs w:val="28"/>
          <w:lang w:val="en-CA"/>
        </w:rPr>
        <w:t>3</w:t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  <w:t>Thanksgiving Day</w:t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  <w:t>NO LESSONS</w:t>
      </w:r>
    </w:p>
    <w:p w:rsidR="00216AC5" w:rsidRDefault="00216AC5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November 4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RCM exam application deadline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5C1EF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EF1570" w:rsidRDefault="00EF1570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D84C79" w:rsidRPr="00C33BC2" w:rsidRDefault="00BF6717" w:rsidP="00BF6717">
      <w:pPr>
        <w:pStyle w:val="NoSpacing"/>
        <w:ind w:left="720"/>
        <w:rPr>
          <w:b/>
          <w:color w:val="4F6228" w:themeColor="accent3" w:themeShade="80"/>
          <w:sz w:val="28"/>
          <w:szCs w:val="28"/>
          <w:lang w:val="en-CA"/>
        </w:rPr>
      </w:pPr>
      <w:r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>NO</w:t>
      </w:r>
      <w:r w:rsidR="00D84C79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TE:  </w:t>
      </w:r>
      <w:r w:rsidR="0058584A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IN STUDIO/REMOTE LESSONS: </w:t>
      </w:r>
      <w:r w:rsidR="0058584A" w:rsidRPr="00E65D96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 </w:t>
      </w:r>
      <w:r w:rsidR="00216AC5">
        <w:rPr>
          <w:b/>
          <w:color w:val="4F6228" w:themeColor="accent3" w:themeShade="80"/>
          <w:sz w:val="28"/>
          <w:szCs w:val="28"/>
          <w:lang w:val="en-CA"/>
        </w:rPr>
        <w:tab/>
      </w:r>
    </w:p>
    <w:p w:rsidR="001A1DB5" w:rsidRPr="00216AC5" w:rsidRDefault="001A1DB5" w:rsidP="00216AC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  <w:highlight w:val="yellow"/>
        </w:rPr>
      </w:pPr>
      <w:r w:rsidRPr="00216AC5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>Masks will be mandatory for in studio lessons</w:t>
      </w:r>
      <w:r w:rsidR="00216AC5" w:rsidRPr="00216AC5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in the Trafalgar Studio </w:t>
      </w:r>
      <w:r w:rsidR="00216AC5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>from</w:t>
      </w:r>
      <w:r w:rsidR="00216AC5" w:rsidRPr="00216AC5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October 14</w:t>
      </w:r>
      <w:r w:rsidR="00216AC5" w:rsidRPr="00216AC5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  <w:vertAlign w:val="superscript"/>
        </w:rPr>
        <w:t>th</w:t>
      </w:r>
      <w:r w:rsidR="00216AC5" w:rsidRPr="00216AC5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onward.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Sanitizer will continue to be available at the door upon entry and exit.  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The piano will be cleaned between families. </w:t>
      </w:r>
    </w:p>
    <w:p w:rsidR="001A1DB5" w:rsidRPr="001A1DB5" w:rsidRDefault="001A1DB5" w:rsidP="00DF7962">
      <w:pPr>
        <w:pStyle w:val="ListParagraph"/>
        <w:numPr>
          <w:ilvl w:val="0"/>
          <w:numId w:val="25"/>
        </w:numPr>
        <w:pBdr>
          <w:bottom w:val="single" w:sz="12" w:space="1" w:color="auto"/>
        </w:pBdr>
        <w:rPr>
          <w:b/>
          <w:color w:val="4F6228" w:themeColor="accent3" w:themeShade="80"/>
          <w:sz w:val="28"/>
          <w:szCs w:val="28"/>
          <w:lang w:val="en-CA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your child or anyone in your home is not well, please let me know and we’ll make arrangements for a remote lesson</w:t>
      </w:r>
      <w:r w:rsidR="00CD244A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necessary</w:t>
      </w: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Make ups are offered for lessons missed due to being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>sick but please provide as much notice as possible</w:t>
      </w: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. 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 xml:space="preserve">Just missing is a forfeit and not eligible for a makeup. </w:t>
      </w:r>
    </w:p>
    <w:p w:rsidR="00E65D96" w:rsidRPr="00E65D96" w:rsidRDefault="004C31C5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 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Do not send coughing and or feverish children to lessons please</w:t>
      </w:r>
      <w:r w:rsid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 to either location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.</w:t>
      </w:r>
      <w:r w:rsidR="0062691E" w:rsidRPr="00E65D96">
        <w:rPr>
          <w:b/>
          <w:color w:val="4F6228" w:themeColor="accent3" w:themeShade="80"/>
          <w:sz w:val="28"/>
          <w:szCs w:val="28"/>
          <w:lang w:val="en-CA"/>
        </w:rPr>
        <w:t xml:space="preserve">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If the student is well enough to do a remote lesson in place of in person, we’re happy to accommodate that!  </w:t>
      </w:r>
    </w:p>
    <w:p w:rsidR="00216AC5" w:rsidRPr="00216AC5" w:rsidRDefault="004C31C5" w:rsidP="00216AC5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lastRenderedPageBreak/>
        <w:t xml:space="preserve">ALL FORMS AND PIECES OF INFORMATION ARE ON THE WEBSITE:  </w:t>
      </w:r>
      <w:hyperlink r:id="rId6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216AC5" w:rsidRDefault="00216AC5" w:rsidP="004C31C5">
      <w:pPr>
        <w:pStyle w:val="NoSpacing"/>
        <w:ind w:left="720"/>
        <w:rPr>
          <w:b/>
          <w:color w:val="002060"/>
          <w:sz w:val="28"/>
          <w:szCs w:val="28"/>
        </w:rPr>
      </w:pPr>
      <w:r w:rsidRPr="00216AC5">
        <w:rPr>
          <w:b/>
          <w:color w:val="002060"/>
          <w:sz w:val="28"/>
          <w:szCs w:val="28"/>
        </w:rPr>
        <w:t xml:space="preserve">Congratulations to </w:t>
      </w:r>
      <w:proofErr w:type="spellStart"/>
      <w:r w:rsidRPr="00EF1570">
        <w:rPr>
          <w:b/>
          <w:color w:val="002060"/>
          <w:sz w:val="28"/>
          <w:szCs w:val="28"/>
          <w:u w:val="single"/>
        </w:rPr>
        <w:t>Marya</w:t>
      </w:r>
      <w:proofErr w:type="spellEnd"/>
      <w:r w:rsidRPr="00EF1570">
        <w:rPr>
          <w:b/>
          <w:color w:val="002060"/>
          <w:sz w:val="28"/>
          <w:szCs w:val="28"/>
          <w:u w:val="single"/>
        </w:rPr>
        <w:t xml:space="preserve"> </w:t>
      </w:r>
      <w:r>
        <w:rPr>
          <w:b/>
          <w:color w:val="002060"/>
          <w:sz w:val="28"/>
          <w:szCs w:val="28"/>
        </w:rPr>
        <w:t xml:space="preserve">(21.3) </w:t>
      </w:r>
      <w:r w:rsidRPr="00216AC5">
        <w:rPr>
          <w:b/>
          <w:color w:val="002060"/>
          <w:sz w:val="28"/>
          <w:szCs w:val="28"/>
        </w:rPr>
        <w:t xml:space="preserve">and </w:t>
      </w:r>
      <w:r w:rsidRPr="00EF1570">
        <w:rPr>
          <w:b/>
          <w:color w:val="002060"/>
          <w:sz w:val="28"/>
          <w:szCs w:val="28"/>
          <w:u w:val="single"/>
        </w:rPr>
        <w:t xml:space="preserve">Rachel </w:t>
      </w:r>
      <w:r>
        <w:rPr>
          <w:b/>
          <w:color w:val="002060"/>
          <w:sz w:val="28"/>
          <w:szCs w:val="28"/>
        </w:rPr>
        <w:t>(24</w:t>
      </w:r>
      <w:r w:rsidR="00EF1570">
        <w:rPr>
          <w:b/>
          <w:color w:val="002060"/>
          <w:sz w:val="28"/>
          <w:szCs w:val="28"/>
        </w:rPr>
        <w:t xml:space="preserve">) </w:t>
      </w:r>
      <w:r w:rsidRPr="00216AC5">
        <w:rPr>
          <w:b/>
          <w:color w:val="002060"/>
          <w:sz w:val="28"/>
          <w:szCs w:val="28"/>
        </w:rPr>
        <w:t>the students of the month for September!</w:t>
      </w:r>
      <w:r w:rsidR="00EF1570">
        <w:rPr>
          <w:b/>
          <w:color w:val="002060"/>
          <w:sz w:val="28"/>
          <w:szCs w:val="28"/>
        </w:rPr>
        <w:t xml:space="preserve">  Great work!!  </w:t>
      </w:r>
      <w:proofErr w:type="gramStart"/>
      <w:r w:rsidR="00EF1570">
        <w:rPr>
          <w:b/>
          <w:color w:val="002060"/>
          <w:sz w:val="28"/>
          <w:szCs w:val="28"/>
        </w:rPr>
        <w:t xml:space="preserve">Honorable mention to </w:t>
      </w:r>
      <w:proofErr w:type="spellStart"/>
      <w:r w:rsidR="00EF1570">
        <w:rPr>
          <w:b/>
          <w:color w:val="002060"/>
          <w:sz w:val="28"/>
          <w:szCs w:val="28"/>
        </w:rPr>
        <w:t>Mahi</w:t>
      </w:r>
      <w:proofErr w:type="spellEnd"/>
      <w:r w:rsidR="00EF1570">
        <w:rPr>
          <w:b/>
          <w:color w:val="002060"/>
          <w:sz w:val="28"/>
          <w:szCs w:val="28"/>
        </w:rPr>
        <w:t xml:space="preserve"> (19.75) and Helena (21.3).</w:t>
      </w:r>
      <w:proofErr w:type="gramEnd"/>
    </w:p>
    <w:p w:rsidR="00EF1570" w:rsidRDefault="00EF1570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EF1570" w:rsidRDefault="00EF1570" w:rsidP="00EF1570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Develop great practice habits to see your name here!</w:t>
      </w:r>
    </w:p>
    <w:p w:rsidR="00216AC5" w:rsidRDefault="00EF1570" w:rsidP="004C31C5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________________________________________________________________________</w:t>
      </w:r>
    </w:p>
    <w:p w:rsidR="00216AC5" w:rsidRPr="00216AC5" w:rsidRDefault="00216AC5" w:rsidP="004C31C5">
      <w:pPr>
        <w:pStyle w:val="NoSpacing"/>
        <w:ind w:left="720"/>
        <w:rPr>
          <w:b/>
          <w:color w:val="002060"/>
          <w:sz w:val="28"/>
          <w:szCs w:val="28"/>
          <w:highlight w:val="cyan"/>
        </w:rPr>
      </w:pPr>
    </w:p>
    <w:p w:rsidR="00C97F11" w:rsidRDefault="00EF2897" w:rsidP="00EF28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are introducing a new system in the studio this year.  Each student will receive a mark out of 10 each lesson.  Marks will be determined through a point system that will be discussed at the group classes.  </w:t>
      </w:r>
      <w:r w:rsidR="007C0264">
        <w:rPr>
          <w:sz w:val="24"/>
          <w:szCs w:val="24"/>
        </w:rPr>
        <w:t>They will receive a handout for their binders/</w:t>
      </w:r>
      <w:proofErr w:type="spellStart"/>
      <w:r w:rsidR="007C0264">
        <w:rPr>
          <w:sz w:val="24"/>
          <w:szCs w:val="24"/>
        </w:rPr>
        <w:t>duotangs</w:t>
      </w:r>
      <w:proofErr w:type="spellEnd"/>
      <w:r w:rsidR="007C026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Students will have the opportunity to earn bonus marks as well.  We will be promoting much memorizing this year and as always, rhythm….counting and fingering will be focused on. </w:t>
      </w:r>
      <w:r w:rsidR="00B448F7">
        <w:rPr>
          <w:sz w:val="24"/>
          <w:szCs w:val="24"/>
        </w:rPr>
        <w:t xml:space="preserve"> For returning students and students that have a few years of lessons under their belts, we will expect accountability</w:t>
      </w:r>
      <w:r>
        <w:rPr>
          <w:sz w:val="24"/>
          <w:szCs w:val="24"/>
        </w:rPr>
        <w:t xml:space="preserve"> </w:t>
      </w:r>
      <w:r w:rsidR="00B448F7">
        <w:rPr>
          <w:sz w:val="24"/>
          <w:szCs w:val="24"/>
        </w:rPr>
        <w:t>and ownership of proper preparation</w:t>
      </w:r>
      <w:r w:rsidR="00C97F11">
        <w:rPr>
          <w:sz w:val="24"/>
          <w:szCs w:val="24"/>
        </w:rPr>
        <w:t>.  Younger students thrive with adult supervision during practice.</w:t>
      </w:r>
    </w:p>
    <w:p w:rsidR="00C97F11" w:rsidRDefault="00C97F11" w:rsidP="00EF2897">
      <w:pPr>
        <w:pStyle w:val="NoSpacing"/>
        <w:rPr>
          <w:sz w:val="24"/>
          <w:szCs w:val="24"/>
        </w:rPr>
      </w:pPr>
    </w:p>
    <w:p w:rsidR="00B448F7" w:rsidRDefault="00B448F7" w:rsidP="00EF28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note the practice expectations in the studio.  For some students we have make adjustments in individual cases but unless that has been communicated in writing to us </w:t>
      </w:r>
      <w:r w:rsidR="00623BE5">
        <w:rPr>
          <w:sz w:val="24"/>
          <w:szCs w:val="24"/>
        </w:rPr>
        <w:t xml:space="preserve">we will be looking for proper preparation.  </w:t>
      </w:r>
      <w:r w:rsidR="00C97F11">
        <w:rPr>
          <w:sz w:val="24"/>
          <w:szCs w:val="24"/>
        </w:rPr>
        <w:t>As in any sport, guided and informed practice creates success.</w:t>
      </w:r>
      <w:r w:rsidR="007C0264">
        <w:rPr>
          <w:sz w:val="24"/>
          <w:szCs w:val="24"/>
        </w:rPr>
        <w:t xml:space="preserve">  It is most advisable for students to break up their practice time into 15 - 20 minute sections for them to get proper value out of the time invested.</w:t>
      </w:r>
    </w:p>
    <w:p w:rsidR="00B448F7" w:rsidRDefault="00B448F7" w:rsidP="00EF289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150"/>
        <w:gridCol w:w="5400"/>
      </w:tblGrid>
      <w:tr w:rsidR="00B448F7" w:rsidRPr="006A0E62" w:rsidTr="00B72975">
        <w:tc>
          <w:tcPr>
            <w:tcW w:w="3150" w:type="dxa"/>
          </w:tcPr>
          <w:p w:rsidR="00B448F7" w:rsidRPr="006A0E62" w:rsidRDefault="00B448F7" w:rsidP="00B72975">
            <w:pPr>
              <w:jc w:val="center"/>
              <w:rPr>
                <w:sz w:val="24"/>
                <w:szCs w:val="24"/>
                <w:highlight w:val="yellow"/>
                <w:lang w:val="en-CA"/>
              </w:rPr>
            </w:pPr>
            <w:r w:rsidRPr="006A0E62">
              <w:rPr>
                <w:sz w:val="24"/>
                <w:szCs w:val="24"/>
                <w:highlight w:val="yellow"/>
                <w:lang w:val="en-CA"/>
              </w:rPr>
              <w:t>LEVEL OF STUDENT</w:t>
            </w:r>
          </w:p>
        </w:tc>
        <w:tc>
          <w:tcPr>
            <w:tcW w:w="5400" w:type="dxa"/>
          </w:tcPr>
          <w:p w:rsidR="00B448F7" w:rsidRPr="006A0E62" w:rsidRDefault="00B448F7" w:rsidP="00B72975">
            <w:pPr>
              <w:jc w:val="center"/>
              <w:rPr>
                <w:sz w:val="24"/>
                <w:szCs w:val="24"/>
                <w:highlight w:val="yellow"/>
                <w:lang w:val="en-CA"/>
              </w:rPr>
            </w:pPr>
            <w:r w:rsidRPr="006A0E62">
              <w:rPr>
                <w:sz w:val="24"/>
                <w:szCs w:val="24"/>
                <w:highlight w:val="yellow"/>
                <w:lang w:val="en-CA"/>
              </w:rPr>
              <w:t>DAILY PRACTICE GOAL (to be achieved 5 days per week)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Beginner:  1</w:t>
            </w:r>
            <w:r w:rsidRPr="00B71ECF">
              <w:rPr>
                <w:sz w:val="24"/>
                <w:szCs w:val="24"/>
                <w:vertAlign w:val="superscript"/>
                <w:lang w:val="en-CA"/>
              </w:rPr>
              <w:t>st</w:t>
            </w:r>
            <w:r w:rsidRPr="00B71ECF">
              <w:rPr>
                <w:sz w:val="24"/>
                <w:szCs w:val="24"/>
                <w:lang w:val="en-CA"/>
              </w:rPr>
              <w:t xml:space="preserve"> 2 years of study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Practice each item assigned 4x a day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Prep A/B (Alfred level 2A)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Practice each item assigned 5X a day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  </w:t>
            </w:r>
            <w:r w:rsidRPr="00B71ECF">
              <w:rPr>
                <w:sz w:val="24"/>
                <w:szCs w:val="24"/>
                <w:lang w:val="en-CA"/>
              </w:rPr>
              <w:t>RCM 1    (Alfred level 2B)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30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2    (Alfred level 3)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35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3    (Alfred level 4)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40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4    (Alfred level 5)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45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5    (Alfred level 6)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50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6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55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7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60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8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75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9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90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10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2 hours</w:t>
            </w:r>
          </w:p>
        </w:tc>
      </w:tr>
      <w:tr w:rsidR="007C0264" w:rsidRPr="00B71ECF" w:rsidTr="00B72975">
        <w:tc>
          <w:tcPr>
            <w:tcW w:w="3150" w:type="dxa"/>
          </w:tcPr>
          <w:p w:rsidR="007C0264" w:rsidRPr="00B71ECF" w:rsidRDefault="007C0264" w:rsidP="00B72975">
            <w:pPr>
              <w:jc w:val="center"/>
              <w:rPr>
                <w:sz w:val="24"/>
                <w:szCs w:val="24"/>
                <w:lang w:val="en-CA"/>
              </w:rPr>
            </w:pPr>
          </w:p>
        </w:tc>
        <w:tc>
          <w:tcPr>
            <w:tcW w:w="5400" w:type="dxa"/>
          </w:tcPr>
          <w:p w:rsidR="007C0264" w:rsidRPr="00B71ECF" w:rsidRDefault="007C0264" w:rsidP="00B72975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</w:tbl>
    <w:p w:rsidR="00B448F7" w:rsidRPr="00EF2897" w:rsidRDefault="00B448F7" w:rsidP="00EF2897">
      <w:pPr>
        <w:pStyle w:val="NoSpacing"/>
        <w:rPr>
          <w:sz w:val="24"/>
          <w:szCs w:val="24"/>
        </w:rPr>
      </w:pPr>
    </w:p>
    <w:p w:rsidR="005C4080" w:rsidRDefault="005C4080" w:rsidP="005C4080">
      <w:pPr>
        <w:pStyle w:val="NoSpacing"/>
        <w:rPr>
          <w:sz w:val="28"/>
          <w:szCs w:val="28"/>
        </w:rPr>
      </w:pPr>
    </w:p>
    <w:p w:rsidR="005C4080" w:rsidRDefault="005C4080" w:rsidP="005C4080">
      <w:pPr>
        <w:pStyle w:val="NoSpacing"/>
        <w:rPr>
          <w:sz w:val="28"/>
          <w:szCs w:val="28"/>
        </w:rPr>
      </w:pPr>
    </w:p>
    <w:p w:rsidR="005C4080" w:rsidRPr="0027276B" w:rsidRDefault="005C4080" w:rsidP="0027276B">
      <w:pPr>
        <w:pStyle w:val="NoSpacing"/>
        <w:jc w:val="center"/>
        <w:rPr>
          <w:rFonts w:ascii="Script MT Bold" w:hAnsi="Script MT Bold"/>
          <w:b/>
          <w:sz w:val="36"/>
          <w:szCs w:val="36"/>
        </w:rPr>
      </w:pPr>
      <w:r w:rsidRPr="0027276B">
        <w:rPr>
          <w:rFonts w:ascii="Script MT Bold" w:hAnsi="Script MT Bold"/>
          <w:b/>
          <w:sz w:val="36"/>
          <w:szCs w:val="36"/>
        </w:rPr>
        <w:t>“Children can learn music as naturally as they absorb the nuances of their native tongues!”</w:t>
      </w:r>
    </w:p>
    <w:sectPr w:rsidR="005C4080" w:rsidRPr="0027276B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16AC5"/>
    <w:rsid w:val="00226E1C"/>
    <w:rsid w:val="0024169E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0C6D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75CC0"/>
    <w:rsid w:val="00E81172"/>
    <w:rsid w:val="00E849A1"/>
    <w:rsid w:val="00EA7811"/>
    <w:rsid w:val="00ED3729"/>
    <w:rsid w:val="00EE426D"/>
    <w:rsid w:val="00EF00BB"/>
    <w:rsid w:val="00EF1570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an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2025-10-05T01:39:00Z</dcterms:created>
  <dcterms:modified xsi:type="dcterms:W3CDTF">2025-10-05T01:39:00Z</dcterms:modified>
</cp:coreProperties>
</file>